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F1" w:rsidRPr="000627DE" w:rsidRDefault="009C29F1" w:rsidP="009C29F1">
      <w:pPr>
        <w:autoSpaceDE w:val="0"/>
        <w:autoSpaceDN w:val="0"/>
        <w:adjustRightInd w:val="0"/>
        <w:spacing w:before="80" w:after="0" w:line="264" w:lineRule="auto"/>
        <w:ind w:right="115"/>
        <w:jc w:val="center"/>
        <w:rPr>
          <w:rFonts w:ascii="Times New Roman" w:hAnsi="Times New Roman"/>
          <w:b/>
          <w:bCs/>
          <w:sz w:val="20"/>
          <w:szCs w:val="24"/>
          <w:lang w:val="ro-RO"/>
        </w:rPr>
      </w:pP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r>
        <w:rPr>
          <w:noProof/>
        </w:rPr>
        <w:drawing>
          <wp:inline distT="0" distB="0" distL="0" distR="0">
            <wp:extent cx="5886450" cy="897613"/>
            <wp:effectExtent l="19050" t="0" r="0" b="0"/>
            <wp:docPr id="4" name="Picture 4" descr="Antet_Botosani_Guv_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_Botosani_Guv_tric"/>
                    <pic:cNvPicPr>
                      <a:picLocks noChangeAspect="1" noChangeArrowheads="1"/>
                    </pic:cNvPicPr>
                  </pic:nvPicPr>
                  <pic:blipFill>
                    <a:blip r:embed="rId5" cstate="print"/>
                    <a:srcRect/>
                    <a:stretch>
                      <a:fillRect/>
                    </a:stretch>
                  </pic:blipFill>
                  <pic:spPr bwMode="auto">
                    <a:xfrm>
                      <a:off x="0" y="0"/>
                      <a:ext cx="5886450" cy="897613"/>
                    </a:xfrm>
                    <a:prstGeom prst="rect">
                      <a:avLst/>
                    </a:prstGeom>
                    <a:noFill/>
                    <a:ln w="9525">
                      <a:noFill/>
                      <a:miter lim="800000"/>
                      <a:headEnd/>
                      <a:tailEnd/>
                    </a:ln>
                  </pic:spPr>
                </pic:pic>
              </a:graphicData>
            </a:graphic>
          </wp:inline>
        </w:drawing>
      </w: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p>
    <w:p w:rsidR="009C29F1"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p>
    <w:p w:rsidR="009C29F1" w:rsidRPr="005F5932" w:rsidRDefault="009C29F1" w:rsidP="009C29F1">
      <w:pPr>
        <w:autoSpaceDE w:val="0"/>
        <w:autoSpaceDN w:val="0"/>
        <w:adjustRightInd w:val="0"/>
        <w:spacing w:before="80" w:after="0" w:line="264" w:lineRule="auto"/>
        <w:ind w:right="115"/>
        <w:jc w:val="center"/>
        <w:outlineLvl w:val="0"/>
        <w:rPr>
          <w:rFonts w:ascii="Times New Roman" w:hAnsi="Times New Roman"/>
          <w:b/>
          <w:bCs/>
          <w:sz w:val="24"/>
          <w:szCs w:val="24"/>
          <w:lang w:val="ro-RO"/>
        </w:rPr>
      </w:pPr>
      <w:r w:rsidRPr="005F5932">
        <w:rPr>
          <w:rFonts w:ascii="Times New Roman" w:hAnsi="Times New Roman"/>
          <w:b/>
          <w:bCs/>
          <w:sz w:val="24"/>
          <w:szCs w:val="24"/>
          <w:lang w:val="ro-RO"/>
        </w:rPr>
        <w:t>INFORMARE DE PRESĂ</w:t>
      </w:r>
    </w:p>
    <w:p w:rsidR="009C29F1" w:rsidRPr="005F5932" w:rsidRDefault="009C29F1" w:rsidP="009C29F1">
      <w:pPr>
        <w:autoSpaceDE w:val="0"/>
        <w:autoSpaceDN w:val="0"/>
        <w:adjustRightInd w:val="0"/>
        <w:spacing w:before="80" w:after="0" w:line="264" w:lineRule="auto"/>
        <w:ind w:right="115"/>
        <w:jc w:val="center"/>
        <w:rPr>
          <w:rFonts w:ascii="Times New Roman" w:hAnsi="Times New Roman"/>
          <w:b/>
          <w:bCs/>
          <w:sz w:val="24"/>
          <w:szCs w:val="24"/>
          <w:lang w:val="ro-RO"/>
        </w:rPr>
      </w:pPr>
    </w:p>
    <w:p w:rsidR="009C29F1" w:rsidRPr="005F5932" w:rsidRDefault="009C29F1" w:rsidP="009C29F1">
      <w:pPr>
        <w:spacing w:before="80" w:after="0" w:line="264" w:lineRule="auto"/>
        <w:jc w:val="both"/>
        <w:rPr>
          <w:rFonts w:ascii="Times New Roman" w:hAnsi="Times New Roman"/>
          <w:b/>
          <w:sz w:val="24"/>
          <w:szCs w:val="24"/>
          <w:lang w:val="ro-RO"/>
        </w:rPr>
      </w:pPr>
      <w:r w:rsidRPr="005F5932">
        <w:rPr>
          <w:rFonts w:ascii="Times New Roman" w:hAnsi="Times New Roman"/>
          <w:sz w:val="24"/>
          <w:szCs w:val="24"/>
          <w:lang w:val="ro-RO"/>
        </w:rPr>
        <w:t xml:space="preserve">Agenţia de Plăţi şi Intervenţie pentru Agricultură (APIA) informează potențialii beneficiari că în data de 27 octombrie 2015 a fost publicată, în Monitorul Oficial </w:t>
      </w:r>
      <w:bookmarkStart w:id="0" w:name="4124205"/>
      <w:bookmarkEnd w:id="0"/>
      <w:r w:rsidRPr="005F5932">
        <w:rPr>
          <w:rFonts w:ascii="Times New Roman" w:hAnsi="Times New Roman"/>
          <w:sz w:val="24"/>
          <w:szCs w:val="24"/>
          <w:lang w:val="ro-RO"/>
        </w:rPr>
        <w:t xml:space="preserve">nr. 797, Ordonanţa de urgenţă nr. 45 </w:t>
      </w:r>
      <w:r w:rsidRPr="005F5932">
        <w:rPr>
          <w:rFonts w:ascii="Times New Roman" w:hAnsi="Times New Roman"/>
          <w:i/>
          <w:sz w:val="24"/>
          <w:szCs w:val="24"/>
          <w:lang w:val="ro-RO"/>
        </w:rPr>
        <w:t>privind instituirea unei scheme de ajutor de stat pentru compensarea pagubelor cauzate de fenomenul meteorologic de secetă severă în perioada aprilie-septembrie 2015</w:t>
      </w:r>
      <w:r w:rsidRPr="005F5932">
        <w:rPr>
          <w:rFonts w:ascii="Times New Roman" w:hAnsi="Times New Roman"/>
          <w:sz w:val="24"/>
          <w:szCs w:val="24"/>
          <w:lang w:val="ro-RO"/>
        </w:rPr>
        <w:t>.</w:t>
      </w:r>
    </w:p>
    <w:p w:rsidR="009C29F1" w:rsidRPr="005F5932" w:rsidRDefault="009C29F1" w:rsidP="009C29F1">
      <w:pPr>
        <w:shd w:val="clear" w:color="auto" w:fill="FFFFFF"/>
        <w:spacing w:before="80" w:after="0" w:line="264" w:lineRule="auto"/>
        <w:jc w:val="both"/>
        <w:rPr>
          <w:rFonts w:ascii="Times New Roman" w:hAnsi="Times New Roman"/>
          <w:sz w:val="24"/>
          <w:szCs w:val="24"/>
          <w:lang w:val="ro-RO"/>
        </w:rPr>
      </w:pPr>
      <w:r w:rsidRPr="005F5932">
        <w:rPr>
          <w:rFonts w:ascii="Times New Roman" w:hAnsi="Times New Roman"/>
          <w:b/>
          <w:sz w:val="24"/>
          <w:szCs w:val="24"/>
          <w:lang w:val="ro-RO"/>
        </w:rPr>
        <w:t>Pot beneficia de ajutorul de stat</w:t>
      </w:r>
      <w:r w:rsidRPr="005F5932">
        <w:rPr>
          <w:rFonts w:ascii="Times New Roman" w:hAnsi="Times New Roman"/>
          <w:sz w:val="24"/>
          <w:szCs w:val="24"/>
          <w:lang w:val="ro-RO"/>
        </w:rPr>
        <w:t xml:space="preserve"> producătorii agricoli care îşi desfăşoară activitatea în producţie agricolă primară, respectiv:</w:t>
      </w:r>
    </w:p>
    <w:p w:rsidR="009C29F1" w:rsidRPr="005F5932" w:rsidRDefault="009C29F1" w:rsidP="009C29F1">
      <w:pPr>
        <w:numPr>
          <w:ilvl w:val="0"/>
          <w:numId w:val="1"/>
        </w:numPr>
        <w:shd w:val="clear" w:color="auto" w:fill="FFFFFF"/>
        <w:spacing w:before="80" w:after="0" w:line="264" w:lineRule="auto"/>
        <w:ind w:left="360"/>
        <w:jc w:val="both"/>
        <w:rPr>
          <w:rFonts w:ascii="Times New Roman" w:hAnsi="Times New Roman"/>
          <w:sz w:val="24"/>
          <w:szCs w:val="24"/>
          <w:lang w:val="ro-RO"/>
        </w:rPr>
      </w:pPr>
      <w:bookmarkStart w:id="1" w:name="do|caII|ar3|al1|lia"/>
      <w:bookmarkEnd w:id="1"/>
      <w:r w:rsidRPr="005F5932">
        <w:rPr>
          <w:rFonts w:ascii="Times New Roman" w:hAnsi="Times New Roman"/>
          <w:sz w:val="24"/>
          <w:szCs w:val="24"/>
          <w:lang w:val="ro-RO"/>
        </w:rPr>
        <w:t xml:space="preserve">producătorii agricoli persoane fizice care deţin atestat de producător emis în baza Legii nr. </w:t>
      </w:r>
      <w:r w:rsidRPr="005F5932">
        <w:rPr>
          <w:rFonts w:ascii="Times New Roman" w:hAnsi="Times New Roman"/>
          <w:sz w:val="24"/>
          <w:szCs w:val="24"/>
          <w:lang w:val="ro-RO"/>
        </w:rPr>
        <w:fldChar w:fldCharType="begin"/>
      </w:r>
      <w:r>
        <w:rPr>
          <w:rFonts w:ascii="Times New Roman" w:hAnsi="Times New Roman"/>
          <w:sz w:val="24"/>
          <w:szCs w:val="24"/>
          <w:lang w:val="ro-RO"/>
        </w:rPr>
        <w:instrText>HYPERLINK "C:\\Users\\Radu\\AppData\\Local\\Microsoft\\Windows\\Temporary Internet Files\\Content.Outlook\\sintact 3.0\\cache\\Legislatie\\temp73386\\00166481.htm"</w:instrText>
      </w:r>
      <w:r w:rsidRPr="005F5932">
        <w:rPr>
          <w:rFonts w:ascii="Times New Roman" w:hAnsi="Times New Roman"/>
          <w:sz w:val="24"/>
          <w:szCs w:val="24"/>
          <w:lang w:val="ro-RO"/>
        </w:rPr>
      </w:r>
      <w:r w:rsidRPr="005F5932">
        <w:rPr>
          <w:rFonts w:ascii="Times New Roman" w:hAnsi="Times New Roman"/>
          <w:sz w:val="24"/>
          <w:szCs w:val="24"/>
          <w:lang w:val="ro-RO"/>
        </w:rPr>
        <w:fldChar w:fldCharType="separate"/>
      </w:r>
      <w:r w:rsidRPr="005F5932">
        <w:rPr>
          <w:rFonts w:ascii="Times New Roman" w:hAnsi="Times New Roman"/>
          <w:sz w:val="24"/>
          <w:szCs w:val="24"/>
          <w:lang w:val="ro-RO"/>
        </w:rPr>
        <w:t>145/2014</w:t>
      </w:r>
      <w:r w:rsidRPr="005F5932">
        <w:rPr>
          <w:rFonts w:ascii="Times New Roman" w:hAnsi="Times New Roman"/>
          <w:sz w:val="24"/>
          <w:szCs w:val="24"/>
          <w:lang w:val="ro-RO"/>
        </w:rPr>
        <w:fldChar w:fldCharType="end"/>
      </w:r>
      <w:r w:rsidRPr="005F5932">
        <w:rPr>
          <w:rFonts w:ascii="Times New Roman" w:hAnsi="Times New Roman"/>
          <w:sz w:val="24"/>
          <w:szCs w:val="24"/>
          <w:lang w:val="ro-RO"/>
        </w:rPr>
        <w:t xml:space="preserve"> pentru stabilirea unor măsuri de reglementare a pieţei produselor din sectorul agricol;</w:t>
      </w:r>
    </w:p>
    <w:p w:rsidR="009C29F1" w:rsidRPr="005F5932" w:rsidRDefault="009C29F1" w:rsidP="009C29F1">
      <w:pPr>
        <w:numPr>
          <w:ilvl w:val="0"/>
          <w:numId w:val="1"/>
        </w:numPr>
        <w:shd w:val="clear" w:color="auto" w:fill="FFFFFF"/>
        <w:spacing w:before="80" w:after="0" w:line="264" w:lineRule="auto"/>
        <w:ind w:left="360"/>
        <w:jc w:val="both"/>
        <w:rPr>
          <w:rFonts w:ascii="Times New Roman" w:hAnsi="Times New Roman"/>
          <w:sz w:val="24"/>
          <w:szCs w:val="24"/>
          <w:lang w:val="ro-RO"/>
        </w:rPr>
      </w:pPr>
      <w:bookmarkStart w:id="2" w:name="do|caII|ar3|al1|lib"/>
      <w:bookmarkEnd w:id="2"/>
      <w:r w:rsidRPr="005F5932">
        <w:rPr>
          <w:rFonts w:ascii="Times New Roman" w:hAnsi="Times New Roman"/>
          <w:sz w:val="24"/>
          <w:szCs w:val="24"/>
          <w:lang w:val="ro-RO"/>
        </w:rPr>
        <w:t xml:space="preserve">producătorii agricoli persoane fizice autorizate, întreprinderi individuale şi întreprinderi familiale, constituite potrivit Ordonanţei de urgenţă a Guvernului nr. </w:t>
      </w:r>
      <w:r w:rsidRPr="005F5932">
        <w:rPr>
          <w:rFonts w:ascii="Times New Roman" w:hAnsi="Times New Roman"/>
          <w:sz w:val="24"/>
          <w:szCs w:val="24"/>
          <w:lang w:val="ro-RO"/>
        </w:rPr>
        <w:fldChar w:fldCharType="begin"/>
      </w:r>
      <w:r>
        <w:rPr>
          <w:rFonts w:ascii="Times New Roman" w:hAnsi="Times New Roman"/>
          <w:sz w:val="24"/>
          <w:szCs w:val="24"/>
          <w:lang w:val="ro-RO"/>
        </w:rPr>
        <w:instrText>HYPERLINK "C:\\Users\\Radu\\AppData\\Local\\Microsoft\\Windows\\Temporary Internet Files\\Content.Outlook\\sintact 3.0\\cache\\Legislatie\\temp73386\\00111453.htm"</w:instrText>
      </w:r>
      <w:r w:rsidRPr="005F5932">
        <w:rPr>
          <w:rFonts w:ascii="Times New Roman" w:hAnsi="Times New Roman"/>
          <w:sz w:val="24"/>
          <w:szCs w:val="24"/>
          <w:lang w:val="ro-RO"/>
        </w:rPr>
      </w:r>
      <w:r w:rsidRPr="005F5932">
        <w:rPr>
          <w:rFonts w:ascii="Times New Roman" w:hAnsi="Times New Roman"/>
          <w:sz w:val="24"/>
          <w:szCs w:val="24"/>
          <w:lang w:val="ro-RO"/>
        </w:rPr>
        <w:fldChar w:fldCharType="separate"/>
      </w:r>
      <w:r w:rsidRPr="005F5932">
        <w:rPr>
          <w:rFonts w:ascii="Times New Roman" w:hAnsi="Times New Roman"/>
          <w:sz w:val="24"/>
          <w:szCs w:val="24"/>
          <w:lang w:val="ro-RO"/>
        </w:rPr>
        <w:t>44/2008</w:t>
      </w:r>
      <w:r w:rsidRPr="005F5932">
        <w:rPr>
          <w:rFonts w:ascii="Times New Roman" w:hAnsi="Times New Roman"/>
          <w:sz w:val="24"/>
          <w:szCs w:val="24"/>
          <w:lang w:val="ro-RO"/>
        </w:rPr>
        <w:fldChar w:fldCharType="end"/>
      </w:r>
      <w:r w:rsidRPr="005F5932">
        <w:rPr>
          <w:rFonts w:ascii="Times New Roman" w:hAnsi="Times New Roman"/>
          <w:sz w:val="24"/>
          <w:szCs w:val="24"/>
          <w:lang w:val="ro-RO"/>
        </w:rPr>
        <w:t xml:space="preserve"> privind desfăşurarea activităţilor economice de către persoanele fizice autorizate, întreprinderile individuale şi întreprinderile familiale, cu modificările şi completările ulterioare;</w:t>
      </w:r>
    </w:p>
    <w:p w:rsidR="009C29F1" w:rsidRPr="005F5932" w:rsidRDefault="009C29F1" w:rsidP="009C29F1">
      <w:pPr>
        <w:numPr>
          <w:ilvl w:val="0"/>
          <w:numId w:val="1"/>
        </w:numPr>
        <w:shd w:val="clear" w:color="auto" w:fill="FFFFFF"/>
        <w:spacing w:before="80" w:after="0" w:line="264" w:lineRule="auto"/>
        <w:ind w:left="360"/>
        <w:jc w:val="both"/>
        <w:rPr>
          <w:rFonts w:ascii="Times New Roman" w:hAnsi="Times New Roman"/>
          <w:sz w:val="24"/>
          <w:szCs w:val="24"/>
          <w:lang w:val="ro-RO"/>
        </w:rPr>
      </w:pPr>
      <w:bookmarkStart w:id="3" w:name="do|caII|ar3|al1|lic"/>
      <w:bookmarkEnd w:id="3"/>
      <w:r w:rsidRPr="005F5932">
        <w:rPr>
          <w:rFonts w:ascii="Times New Roman" w:hAnsi="Times New Roman"/>
          <w:sz w:val="24"/>
          <w:szCs w:val="24"/>
          <w:lang w:val="ro-RO"/>
        </w:rPr>
        <w:t>producători agricoli persoane juridice, precum şi orice forme asociative cu sau fără personalitate juridică, constituite conform legii.</w:t>
      </w:r>
    </w:p>
    <w:p w:rsidR="009C29F1" w:rsidRPr="005F5932" w:rsidRDefault="009C29F1" w:rsidP="009C29F1">
      <w:pPr>
        <w:shd w:val="clear" w:color="auto" w:fill="FFFFFF"/>
        <w:spacing w:before="240" w:after="0" w:line="264" w:lineRule="auto"/>
        <w:jc w:val="both"/>
        <w:rPr>
          <w:rFonts w:ascii="Times New Roman" w:hAnsi="Times New Roman"/>
          <w:b/>
          <w:sz w:val="24"/>
          <w:szCs w:val="24"/>
          <w:lang w:val="ro-RO"/>
        </w:rPr>
      </w:pPr>
      <w:r w:rsidRPr="005F5932">
        <w:rPr>
          <w:rFonts w:ascii="Times New Roman" w:hAnsi="Times New Roman"/>
          <w:b/>
          <w:sz w:val="24"/>
          <w:szCs w:val="24"/>
          <w:lang w:val="ro-RO"/>
        </w:rPr>
        <w:t>Criterii de eligibilitate:</w:t>
      </w:r>
    </w:p>
    <w:p w:rsidR="009C29F1" w:rsidRPr="005F5932" w:rsidRDefault="009C29F1" w:rsidP="009C29F1">
      <w:pPr>
        <w:numPr>
          <w:ilvl w:val="0"/>
          <w:numId w:val="3"/>
        </w:numPr>
        <w:shd w:val="clear" w:color="auto" w:fill="FFFFFF"/>
        <w:spacing w:before="80" w:after="0" w:line="264" w:lineRule="auto"/>
        <w:ind w:left="360"/>
        <w:jc w:val="both"/>
        <w:rPr>
          <w:rFonts w:ascii="Times New Roman" w:hAnsi="Times New Roman"/>
          <w:sz w:val="24"/>
          <w:szCs w:val="24"/>
          <w:lang w:val="ro-RO"/>
        </w:rPr>
      </w:pPr>
      <w:bookmarkStart w:id="4" w:name="do|caII|ar3|al2|lia"/>
      <w:bookmarkEnd w:id="4"/>
      <w:r w:rsidRPr="005F5932">
        <w:rPr>
          <w:rFonts w:ascii="Times New Roman" w:hAnsi="Times New Roman"/>
          <w:sz w:val="24"/>
          <w:szCs w:val="24"/>
          <w:lang w:val="ro-RO"/>
        </w:rPr>
        <w:t>să deţină proces-verbal de constatare şi evaluare a pagubelor, încheiat în perioada cuprinsă între 1 aprilie 2015 şi 20 octombrie 2015, conform legislaţiei pentru situaţiile de urgenţă, semnat de membrii comisiei şi în care să fie înscrise cel puţin informaţii privind cultura, suprafaţă calamitată, precum şi procentul de calamitare de peste 30%;</w:t>
      </w:r>
    </w:p>
    <w:p w:rsidR="009C29F1" w:rsidRDefault="009C29F1" w:rsidP="009C29F1">
      <w:pPr>
        <w:numPr>
          <w:ilvl w:val="0"/>
          <w:numId w:val="3"/>
        </w:numPr>
        <w:shd w:val="clear" w:color="auto" w:fill="FFFFFF"/>
        <w:spacing w:before="80" w:after="0" w:line="264" w:lineRule="auto"/>
        <w:ind w:left="360"/>
        <w:jc w:val="both"/>
        <w:rPr>
          <w:rFonts w:ascii="Times New Roman" w:hAnsi="Times New Roman"/>
          <w:sz w:val="24"/>
          <w:szCs w:val="24"/>
          <w:lang w:val="ro-RO"/>
        </w:rPr>
      </w:pPr>
      <w:bookmarkStart w:id="5" w:name="do|caII|ar3|al2|lib"/>
      <w:bookmarkEnd w:id="5"/>
      <w:r w:rsidRPr="005F5932">
        <w:rPr>
          <w:rFonts w:ascii="Times New Roman" w:hAnsi="Times New Roman"/>
          <w:sz w:val="24"/>
          <w:szCs w:val="24"/>
          <w:lang w:val="ro-RO"/>
        </w:rPr>
        <w:t>să fie înregistraţi în evidenţele APIA cu cerere unică de plată aferentă anului 2015.</w:t>
      </w:r>
      <w:bookmarkStart w:id="6" w:name="do|caII|ar3|al3"/>
      <w:bookmarkEnd w:id="6"/>
    </w:p>
    <w:p w:rsidR="009C29F1" w:rsidRPr="005F5932" w:rsidRDefault="009C29F1" w:rsidP="009C29F1">
      <w:pPr>
        <w:shd w:val="clear" w:color="auto" w:fill="FFFFFF"/>
        <w:spacing w:before="80" w:after="0" w:line="264" w:lineRule="auto"/>
        <w:jc w:val="both"/>
        <w:rPr>
          <w:rFonts w:ascii="Times New Roman" w:hAnsi="Times New Roman"/>
          <w:sz w:val="24"/>
          <w:szCs w:val="24"/>
          <w:lang w:val="ro-RO"/>
        </w:rPr>
      </w:pPr>
    </w:p>
    <w:p w:rsidR="009C29F1" w:rsidRDefault="009C29F1" w:rsidP="009C29F1">
      <w:pPr>
        <w:shd w:val="clear" w:color="auto" w:fill="FFFFFF"/>
        <w:spacing w:before="80" w:after="0" w:line="264" w:lineRule="auto"/>
        <w:jc w:val="both"/>
        <w:rPr>
          <w:rFonts w:ascii="Times New Roman" w:hAnsi="Times New Roman"/>
          <w:sz w:val="24"/>
          <w:szCs w:val="24"/>
          <w:lang w:val="ro-RO"/>
        </w:rPr>
      </w:pPr>
      <w:r w:rsidRPr="005F5932">
        <w:rPr>
          <w:rFonts w:ascii="Times New Roman" w:hAnsi="Times New Roman"/>
          <w:b/>
          <w:i/>
          <w:sz w:val="24"/>
          <w:szCs w:val="24"/>
          <w:lang w:val="ro-RO"/>
        </w:rPr>
        <w:t xml:space="preserve">Nu sunt eligibili </w:t>
      </w:r>
      <w:r w:rsidRPr="00E42BF4">
        <w:rPr>
          <w:rFonts w:ascii="Times New Roman" w:hAnsi="Times New Roman"/>
          <w:i/>
          <w:sz w:val="24"/>
          <w:szCs w:val="24"/>
          <w:lang w:val="ro-RO"/>
        </w:rPr>
        <w:t>acestei scheme</w:t>
      </w:r>
      <w:r w:rsidRPr="005F5932">
        <w:rPr>
          <w:rFonts w:ascii="Times New Roman" w:hAnsi="Times New Roman"/>
          <w:b/>
          <w:i/>
          <w:sz w:val="24"/>
          <w:szCs w:val="24"/>
          <w:lang w:val="ro-RO"/>
        </w:rPr>
        <w:t xml:space="preserve"> beneficiarii declaraţi, </w:t>
      </w:r>
      <w:r w:rsidRPr="00E42BF4">
        <w:rPr>
          <w:rFonts w:ascii="Times New Roman" w:hAnsi="Times New Roman"/>
          <w:i/>
          <w:sz w:val="24"/>
          <w:szCs w:val="24"/>
          <w:lang w:val="ro-RO"/>
        </w:rPr>
        <w:t>de APIA,</w:t>
      </w:r>
      <w:r w:rsidRPr="005F5932">
        <w:rPr>
          <w:rFonts w:ascii="Times New Roman" w:hAnsi="Times New Roman"/>
          <w:b/>
          <w:i/>
          <w:sz w:val="24"/>
          <w:szCs w:val="24"/>
          <w:lang w:val="ro-RO"/>
        </w:rPr>
        <w:t xml:space="preserve"> neeligibili pentru schema de plată unică pe suprafaţă </w:t>
      </w:r>
      <w:r w:rsidRPr="00E42BF4">
        <w:rPr>
          <w:rFonts w:ascii="Times New Roman" w:hAnsi="Times New Roman"/>
          <w:i/>
          <w:sz w:val="24"/>
          <w:szCs w:val="24"/>
          <w:lang w:val="ro-RO"/>
        </w:rPr>
        <w:t>aferentă anului 2015,</w:t>
      </w:r>
      <w:r w:rsidRPr="005F5932">
        <w:rPr>
          <w:rFonts w:ascii="Times New Roman" w:hAnsi="Times New Roman"/>
          <w:b/>
          <w:i/>
          <w:sz w:val="24"/>
          <w:szCs w:val="24"/>
          <w:lang w:val="ro-RO"/>
        </w:rPr>
        <w:t xml:space="preserve"> în urma controlului administrativ</w:t>
      </w:r>
      <w:r>
        <w:rPr>
          <w:rFonts w:ascii="Times New Roman" w:hAnsi="Times New Roman"/>
          <w:sz w:val="24"/>
          <w:szCs w:val="24"/>
          <w:lang w:val="ro-RO"/>
        </w:rPr>
        <w:t>.</w:t>
      </w:r>
    </w:p>
    <w:p w:rsidR="009C29F1" w:rsidRPr="005F5932" w:rsidRDefault="009C29F1" w:rsidP="009C29F1">
      <w:pPr>
        <w:shd w:val="clear" w:color="auto" w:fill="FFFFFF"/>
        <w:spacing w:before="80" w:after="0" w:line="264" w:lineRule="auto"/>
        <w:jc w:val="both"/>
        <w:rPr>
          <w:rFonts w:ascii="Times New Roman" w:hAnsi="Times New Roman"/>
          <w:sz w:val="24"/>
          <w:szCs w:val="24"/>
          <w:lang w:val="ro-RO"/>
        </w:rPr>
      </w:pPr>
    </w:p>
    <w:p w:rsidR="009C29F1" w:rsidRPr="005F5932" w:rsidRDefault="009C29F1" w:rsidP="009C29F1">
      <w:pPr>
        <w:shd w:val="clear" w:color="auto" w:fill="FFFFFF"/>
        <w:spacing w:before="80" w:after="0" w:line="264" w:lineRule="auto"/>
        <w:jc w:val="both"/>
        <w:rPr>
          <w:rFonts w:ascii="Times New Roman" w:hAnsi="Times New Roman"/>
          <w:b/>
          <w:sz w:val="24"/>
          <w:szCs w:val="24"/>
          <w:lang w:val="ro-RO"/>
        </w:rPr>
      </w:pPr>
      <w:r w:rsidRPr="005F5932">
        <w:rPr>
          <w:rFonts w:ascii="Times New Roman" w:hAnsi="Times New Roman"/>
          <w:b/>
          <w:sz w:val="24"/>
          <w:szCs w:val="24"/>
          <w:lang w:val="ro-RO"/>
        </w:rPr>
        <w:t>Plăţile compensatorii</w:t>
      </w:r>
      <w:r w:rsidRPr="005F5932">
        <w:rPr>
          <w:rFonts w:ascii="Times New Roman" w:hAnsi="Times New Roman"/>
          <w:sz w:val="24"/>
          <w:szCs w:val="24"/>
          <w:lang w:val="ro-RO"/>
        </w:rPr>
        <w:t xml:space="preserve"> se acordă pentru</w:t>
      </w:r>
      <w:r w:rsidRPr="005F5932">
        <w:rPr>
          <w:rFonts w:ascii="Times New Roman" w:hAnsi="Times New Roman"/>
          <w:b/>
          <w:sz w:val="24"/>
          <w:szCs w:val="24"/>
          <w:lang w:val="ro-RO"/>
        </w:rPr>
        <w:t xml:space="preserve"> pierderile de venit</w:t>
      </w:r>
      <w:r w:rsidRPr="005F5932">
        <w:rPr>
          <w:rFonts w:ascii="Times New Roman" w:hAnsi="Times New Roman"/>
          <w:sz w:val="24"/>
          <w:szCs w:val="24"/>
          <w:lang w:val="ro-RO"/>
        </w:rPr>
        <w:t xml:space="preserve"> survenite la următoarele culturi: </w:t>
      </w:r>
      <w:r w:rsidRPr="005F5932">
        <w:rPr>
          <w:rFonts w:ascii="Times New Roman" w:hAnsi="Times New Roman"/>
          <w:b/>
          <w:sz w:val="24"/>
          <w:szCs w:val="24"/>
          <w:lang w:val="ro-RO"/>
        </w:rPr>
        <w:t>porumb boabe, floarea-soarelui, soia, cartof, sfeclă de zahăr, legume în câmp, plante de nutreţ, păşuni şi fâneţe.</w:t>
      </w:r>
    </w:p>
    <w:p w:rsidR="009C29F1" w:rsidRPr="005F5932" w:rsidRDefault="009C29F1" w:rsidP="009C29F1">
      <w:pPr>
        <w:shd w:val="clear" w:color="auto" w:fill="FFFFFF"/>
        <w:spacing w:before="80" w:after="0" w:line="264" w:lineRule="auto"/>
        <w:jc w:val="both"/>
        <w:rPr>
          <w:rFonts w:ascii="Times New Roman" w:hAnsi="Times New Roman"/>
          <w:sz w:val="24"/>
          <w:szCs w:val="24"/>
          <w:lang w:val="ro-RO"/>
        </w:rPr>
      </w:pPr>
      <w:r w:rsidRPr="005F5932">
        <w:rPr>
          <w:rFonts w:ascii="Times New Roman" w:hAnsi="Times New Roman"/>
          <w:b/>
          <w:sz w:val="24"/>
          <w:szCs w:val="24"/>
          <w:lang w:val="ro-RO"/>
        </w:rPr>
        <w:t>Cererea de solicitare a ajutorului de stat se depune la centrele APIA locale sau județene unde</w:t>
      </w:r>
      <w:r>
        <w:rPr>
          <w:rFonts w:ascii="Times New Roman" w:hAnsi="Times New Roman"/>
          <w:b/>
          <w:sz w:val="24"/>
          <w:szCs w:val="24"/>
          <w:lang w:val="ro-RO"/>
        </w:rPr>
        <w:t xml:space="preserve"> </w:t>
      </w:r>
      <w:r w:rsidRPr="005F5932">
        <w:rPr>
          <w:rFonts w:ascii="Times New Roman" w:hAnsi="Times New Roman"/>
          <w:b/>
          <w:sz w:val="24"/>
          <w:szCs w:val="24"/>
          <w:lang w:val="ro-RO"/>
        </w:rPr>
        <w:t>solicitantul a depus cererea unică de plată pentru anul 2015</w:t>
      </w:r>
      <w:r w:rsidRPr="005F5932">
        <w:rPr>
          <w:rFonts w:ascii="Times New Roman" w:hAnsi="Times New Roman"/>
          <w:sz w:val="24"/>
          <w:szCs w:val="24"/>
          <w:lang w:val="ro-RO"/>
        </w:rPr>
        <w:t>, însoţită de următoarele documente:</w:t>
      </w:r>
    </w:p>
    <w:p w:rsidR="009C29F1" w:rsidRPr="005F5932" w:rsidRDefault="009C29F1" w:rsidP="009C29F1">
      <w:pPr>
        <w:numPr>
          <w:ilvl w:val="0"/>
          <w:numId w:val="2"/>
        </w:numPr>
        <w:shd w:val="clear" w:color="auto" w:fill="FFFFFF"/>
        <w:spacing w:before="80" w:after="0" w:line="264" w:lineRule="auto"/>
        <w:ind w:left="360"/>
        <w:jc w:val="both"/>
        <w:rPr>
          <w:rFonts w:ascii="Times New Roman" w:hAnsi="Times New Roman"/>
          <w:sz w:val="24"/>
          <w:szCs w:val="24"/>
          <w:lang w:val="ro-RO"/>
        </w:rPr>
      </w:pPr>
      <w:bookmarkStart w:id="7" w:name="do|caIII|ar6|al1|lia"/>
      <w:bookmarkEnd w:id="7"/>
      <w:r w:rsidRPr="005F5932">
        <w:rPr>
          <w:rFonts w:ascii="Times New Roman" w:hAnsi="Times New Roman"/>
          <w:sz w:val="24"/>
          <w:szCs w:val="24"/>
          <w:lang w:val="ro-RO"/>
        </w:rPr>
        <w:t>copie a B.I./C.I. al/a solicitantului persoană fizică sau, după caz, împuternicire/procură notarială şi o copie a B.I./C.I. al/a reprezentantului mandatat;</w:t>
      </w:r>
      <w:bookmarkStart w:id="8" w:name="do|caIII|ar6|al1|lib"/>
      <w:bookmarkEnd w:id="8"/>
    </w:p>
    <w:p w:rsidR="009C29F1" w:rsidRPr="005F5932" w:rsidRDefault="009C29F1" w:rsidP="009C29F1">
      <w:pPr>
        <w:numPr>
          <w:ilvl w:val="0"/>
          <w:numId w:val="2"/>
        </w:numPr>
        <w:shd w:val="clear" w:color="auto" w:fill="FFFFFF"/>
        <w:spacing w:before="80" w:after="0" w:line="264" w:lineRule="auto"/>
        <w:ind w:left="360"/>
        <w:jc w:val="both"/>
        <w:rPr>
          <w:rFonts w:ascii="Times New Roman" w:hAnsi="Times New Roman"/>
          <w:sz w:val="24"/>
          <w:szCs w:val="24"/>
          <w:lang w:val="ro-RO"/>
        </w:rPr>
      </w:pPr>
      <w:r w:rsidRPr="005F5932">
        <w:rPr>
          <w:rFonts w:ascii="Times New Roman" w:hAnsi="Times New Roman"/>
          <w:sz w:val="24"/>
          <w:szCs w:val="24"/>
          <w:lang w:val="ro-RO"/>
        </w:rPr>
        <w:t>copie a atestatului de producător, după caz;</w:t>
      </w:r>
      <w:bookmarkStart w:id="9" w:name="do|caIII|ar6|al1|lic"/>
      <w:bookmarkEnd w:id="9"/>
    </w:p>
    <w:p w:rsidR="009C29F1" w:rsidRDefault="009C29F1" w:rsidP="009C29F1">
      <w:pPr>
        <w:shd w:val="clear" w:color="auto" w:fill="FFFFFF"/>
        <w:spacing w:before="80" w:after="0" w:line="264" w:lineRule="auto"/>
        <w:ind w:left="360"/>
        <w:jc w:val="both"/>
        <w:rPr>
          <w:rFonts w:ascii="Times New Roman" w:hAnsi="Times New Roman"/>
          <w:sz w:val="24"/>
          <w:szCs w:val="24"/>
          <w:lang w:val="ro-RO"/>
        </w:rPr>
      </w:pPr>
    </w:p>
    <w:p w:rsidR="009C29F1" w:rsidRDefault="009C29F1" w:rsidP="009C29F1">
      <w:pPr>
        <w:shd w:val="clear" w:color="auto" w:fill="FFFFFF"/>
        <w:spacing w:before="80" w:after="0" w:line="264" w:lineRule="auto"/>
        <w:ind w:left="360"/>
        <w:jc w:val="both"/>
        <w:rPr>
          <w:rFonts w:ascii="Times New Roman" w:hAnsi="Times New Roman"/>
          <w:sz w:val="24"/>
          <w:szCs w:val="24"/>
          <w:lang w:val="ro-RO"/>
        </w:rPr>
      </w:pPr>
    </w:p>
    <w:p w:rsidR="009C29F1" w:rsidRPr="005F5932" w:rsidRDefault="009C29F1" w:rsidP="009C29F1">
      <w:pPr>
        <w:numPr>
          <w:ilvl w:val="0"/>
          <w:numId w:val="2"/>
        </w:numPr>
        <w:shd w:val="clear" w:color="auto" w:fill="FFFFFF"/>
        <w:spacing w:before="80" w:after="0" w:line="264" w:lineRule="auto"/>
        <w:ind w:left="360"/>
        <w:jc w:val="both"/>
        <w:rPr>
          <w:rFonts w:ascii="Times New Roman" w:hAnsi="Times New Roman"/>
          <w:sz w:val="24"/>
          <w:szCs w:val="24"/>
          <w:lang w:val="ro-RO"/>
        </w:rPr>
      </w:pPr>
      <w:r w:rsidRPr="005F5932">
        <w:rPr>
          <w:rFonts w:ascii="Times New Roman" w:hAnsi="Times New Roman"/>
          <w:sz w:val="24"/>
          <w:szCs w:val="24"/>
          <w:lang w:val="ro-RO"/>
        </w:rPr>
        <w:t>copie a certificatului de înregistrare la Oficiul Naţional al Registrului Comerţului/Registrul naţional al asociaţiilor şi fundaţiilor sau a actului în baza căruia îşi desfăşoară activitatea, precum şi copie a B.I./C.I. al/a împuternicitului/reprezentantului legal;</w:t>
      </w:r>
      <w:bookmarkStart w:id="10" w:name="do|caIII|ar6|al1|lid"/>
      <w:bookmarkEnd w:id="10"/>
    </w:p>
    <w:p w:rsidR="009C29F1" w:rsidRPr="005F5932" w:rsidRDefault="009C29F1" w:rsidP="009C29F1">
      <w:pPr>
        <w:numPr>
          <w:ilvl w:val="0"/>
          <w:numId w:val="2"/>
        </w:numPr>
        <w:shd w:val="clear" w:color="auto" w:fill="FFFFFF"/>
        <w:spacing w:before="80" w:after="0" w:line="264" w:lineRule="auto"/>
        <w:ind w:left="360"/>
        <w:jc w:val="both"/>
        <w:rPr>
          <w:rFonts w:ascii="Times New Roman" w:hAnsi="Times New Roman"/>
          <w:sz w:val="24"/>
          <w:szCs w:val="24"/>
          <w:lang w:val="ro-RO"/>
        </w:rPr>
      </w:pPr>
      <w:r w:rsidRPr="005F5932">
        <w:rPr>
          <w:rFonts w:ascii="Times New Roman" w:hAnsi="Times New Roman"/>
          <w:sz w:val="24"/>
          <w:szCs w:val="24"/>
          <w:lang w:val="ro-RO"/>
        </w:rPr>
        <w:t>copie a procesului-verbal de constatare şi evaluare a pagubelor;</w:t>
      </w:r>
      <w:bookmarkStart w:id="11" w:name="do|caIII|ar6|al1|lie"/>
      <w:bookmarkEnd w:id="11"/>
    </w:p>
    <w:p w:rsidR="009C29F1" w:rsidRPr="005F5932" w:rsidRDefault="009C29F1" w:rsidP="009C29F1">
      <w:pPr>
        <w:numPr>
          <w:ilvl w:val="0"/>
          <w:numId w:val="2"/>
        </w:numPr>
        <w:shd w:val="clear" w:color="auto" w:fill="FFFFFF"/>
        <w:spacing w:before="80" w:after="0" w:line="264" w:lineRule="auto"/>
        <w:ind w:left="360"/>
        <w:jc w:val="both"/>
        <w:rPr>
          <w:rFonts w:ascii="Times New Roman" w:hAnsi="Times New Roman"/>
          <w:sz w:val="24"/>
          <w:szCs w:val="24"/>
          <w:lang w:val="ro-RO"/>
        </w:rPr>
      </w:pPr>
      <w:r w:rsidRPr="005F5932">
        <w:rPr>
          <w:rFonts w:ascii="Times New Roman" w:hAnsi="Times New Roman"/>
          <w:sz w:val="24"/>
          <w:szCs w:val="24"/>
          <w:lang w:val="ro-RO"/>
        </w:rPr>
        <w:t xml:space="preserve">document cont bancar deschis la instituţii de credit pentru persoanele fizice; </w:t>
      </w:r>
    </w:p>
    <w:p w:rsidR="009C29F1" w:rsidRPr="005F5932" w:rsidRDefault="009C29F1" w:rsidP="009C29F1">
      <w:pPr>
        <w:numPr>
          <w:ilvl w:val="0"/>
          <w:numId w:val="2"/>
        </w:numPr>
        <w:shd w:val="clear" w:color="auto" w:fill="FFFFFF"/>
        <w:spacing w:before="80" w:after="0" w:line="264" w:lineRule="auto"/>
        <w:ind w:left="360"/>
        <w:jc w:val="both"/>
        <w:rPr>
          <w:rFonts w:ascii="Times New Roman" w:hAnsi="Times New Roman"/>
          <w:sz w:val="24"/>
          <w:szCs w:val="24"/>
          <w:lang w:val="ro-RO"/>
        </w:rPr>
      </w:pPr>
      <w:r w:rsidRPr="005F5932">
        <w:rPr>
          <w:rFonts w:ascii="Times New Roman" w:hAnsi="Times New Roman"/>
          <w:sz w:val="24"/>
          <w:szCs w:val="24"/>
          <w:lang w:val="ro-RO"/>
        </w:rPr>
        <w:t>document aferent contului deschis la Trezoreria Statului pentru persoane juridice.</w:t>
      </w:r>
    </w:p>
    <w:p w:rsidR="009C29F1" w:rsidRDefault="009C29F1" w:rsidP="009C29F1">
      <w:pPr>
        <w:shd w:val="clear" w:color="auto" w:fill="FFFFFF"/>
        <w:spacing w:before="80" w:after="0" w:line="264" w:lineRule="auto"/>
        <w:jc w:val="both"/>
        <w:rPr>
          <w:rFonts w:ascii="Times New Roman" w:hAnsi="Times New Roman"/>
          <w:i/>
          <w:sz w:val="24"/>
          <w:szCs w:val="24"/>
          <w:lang w:val="ro-RO"/>
        </w:rPr>
      </w:pPr>
    </w:p>
    <w:p w:rsidR="009C29F1" w:rsidRDefault="009C29F1" w:rsidP="009C29F1">
      <w:pPr>
        <w:shd w:val="clear" w:color="auto" w:fill="FFFFFF"/>
        <w:spacing w:before="80" w:after="0" w:line="264" w:lineRule="auto"/>
        <w:jc w:val="both"/>
        <w:rPr>
          <w:rFonts w:ascii="Times New Roman" w:hAnsi="Times New Roman"/>
          <w:i/>
          <w:sz w:val="24"/>
          <w:szCs w:val="24"/>
          <w:lang w:val="ro-RO"/>
        </w:rPr>
      </w:pPr>
      <w:r w:rsidRPr="005F5932">
        <w:rPr>
          <w:rFonts w:ascii="Times New Roman" w:hAnsi="Times New Roman"/>
          <w:i/>
          <w:sz w:val="24"/>
          <w:szCs w:val="24"/>
          <w:lang w:val="ro-RO"/>
        </w:rPr>
        <w:t xml:space="preserve">Solicitantul va prezenta </w:t>
      </w:r>
      <w:r>
        <w:rPr>
          <w:rFonts w:ascii="Times New Roman" w:hAnsi="Times New Roman"/>
          <w:i/>
          <w:sz w:val="24"/>
          <w:szCs w:val="24"/>
          <w:lang w:val="ro-RO"/>
        </w:rPr>
        <w:t>ș</w:t>
      </w:r>
      <w:r w:rsidRPr="005F5932">
        <w:rPr>
          <w:rFonts w:ascii="Times New Roman" w:hAnsi="Times New Roman"/>
          <w:i/>
          <w:sz w:val="24"/>
          <w:szCs w:val="24"/>
          <w:lang w:val="ro-RO"/>
        </w:rPr>
        <w:t>i documentele originale pentru co</w:t>
      </w:r>
      <w:r>
        <w:rPr>
          <w:rFonts w:ascii="Times New Roman" w:hAnsi="Times New Roman"/>
          <w:i/>
          <w:sz w:val="24"/>
          <w:szCs w:val="24"/>
          <w:lang w:val="ro-RO"/>
        </w:rPr>
        <w:t>piile prev</w:t>
      </w:r>
      <w:r w:rsidRPr="000627DE">
        <w:rPr>
          <w:rFonts w:ascii="Times New Roman" w:hAnsi="Times New Roman"/>
          <w:i/>
          <w:sz w:val="24"/>
          <w:szCs w:val="24"/>
          <w:lang w:val="ro-RO"/>
        </w:rPr>
        <w:t>ă</w:t>
      </w:r>
      <w:r>
        <w:rPr>
          <w:rFonts w:ascii="Times New Roman" w:hAnsi="Times New Roman"/>
          <w:i/>
          <w:sz w:val="24"/>
          <w:szCs w:val="24"/>
          <w:lang w:val="ro-RO"/>
        </w:rPr>
        <w:t>zute la punctele a-c.</w:t>
      </w:r>
    </w:p>
    <w:p w:rsidR="009C29F1" w:rsidRPr="005F5932" w:rsidRDefault="009C29F1" w:rsidP="009C29F1">
      <w:pPr>
        <w:shd w:val="clear" w:color="auto" w:fill="FFFFFF"/>
        <w:spacing w:before="80" w:after="0" w:line="264" w:lineRule="auto"/>
        <w:jc w:val="both"/>
        <w:rPr>
          <w:rFonts w:ascii="Times New Roman" w:hAnsi="Times New Roman"/>
          <w:i/>
          <w:sz w:val="24"/>
          <w:szCs w:val="24"/>
          <w:lang w:val="ro-RO"/>
        </w:rPr>
      </w:pPr>
    </w:p>
    <w:p w:rsidR="009C29F1" w:rsidRPr="000627DE" w:rsidRDefault="009C29F1" w:rsidP="009C29F1">
      <w:pPr>
        <w:shd w:val="clear" w:color="auto" w:fill="FFFFFF"/>
        <w:spacing w:before="80" w:after="0" w:line="264" w:lineRule="auto"/>
        <w:rPr>
          <w:rFonts w:ascii="Times New Roman" w:hAnsi="Times New Roman"/>
          <w:b/>
          <w:sz w:val="24"/>
          <w:szCs w:val="24"/>
          <w:lang w:val="ro-RO"/>
        </w:rPr>
      </w:pPr>
      <w:r w:rsidRPr="000627DE">
        <w:rPr>
          <w:rFonts w:ascii="Times New Roman" w:hAnsi="Times New Roman"/>
          <w:b/>
          <w:sz w:val="24"/>
          <w:szCs w:val="24"/>
          <w:lang w:val="ro-RO"/>
        </w:rPr>
        <w:t>Termen</w:t>
      </w:r>
      <w:r>
        <w:rPr>
          <w:rFonts w:ascii="Times New Roman" w:hAnsi="Times New Roman"/>
          <w:b/>
          <w:sz w:val="24"/>
          <w:szCs w:val="24"/>
          <w:lang w:val="ro-RO"/>
        </w:rPr>
        <w:t>ul</w:t>
      </w:r>
      <w:r w:rsidRPr="000627DE">
        <w:rPr>
          <w:rFonts w:ascii="Times New Roman" w:hAnsi="Times New Roman"/>
          <w:b/>
          <w:sz w:val="24"/>
          <w:szCs w:val="24"/>
          <w:lang w:val="ro-RO"/>
        </w:rPr>
        <w:t xml:space="preserve"> limită de depunere a cererii</w:t>
      </w:r>
      <w:r>
        <w:rPr>
          <w:rFonts w:ascii="Times New Roman" w:hAnsi="Times New Roman"/>
          <w:b/>
          <w:sz w:val="24"/>
          <w:szCs w:val="24"/>
          <w:lang w:val="ro-RO"/>
        </w:rPr>
        <w:t xml:space="preserve"> este</w:t>
      </w:r>
      <w:r w:rsidRPr="000627DE">
        <w:rPr>
          <w:rFonts w:ascii="Times New Roman" w:hAnsi="Times New Roman"/>
          <w:b/>
          <w:sz w:val="24"/>
          <w:szCs w:val="24"/>
          <w:lang w:val="ro-RO"/>
        </w:rPr>
        <w:t xml:space="preserve"> 30 noiembrie 2015</w:t>
      </w:r>
      <w:r>
        <w:rPr>
          <w:rFonts w:ascii="Times New Roman" w:hAnsi="Times New Roman"/>
          <w:b/>
          <w:sz w:val="24"/>
          <w:szCs w:val="24"/>
          <w:lang w:val="ro-RO"/>
        </w:rPr>
        <w:t>.</w:t>
      </w:r>
    </w:p>
    <w:p w:rsidR="009C29F1" w:rsidRPr="005F5932" w:rsidRDefault="009C29F1" w:rsidP="009C29F1">
      <w:pPr>
        <w:shd w:val="clear" w:color="auto" w:fill="FFFFFF"/>
        <w:spacing w:before="80" w:after="0" w:line="264" w:lineRule="auto"/>
        <w:jc w:val="both"/>
        <w:rPr>
          <w:rFonts w:ascii="Times New Roman" w:hAnsi="Times New Roman"/>
          <w:bCs/>
          <w:sz w:val="24"/>
          <w:szCs w:val="24"/>
        </w:rPr>
      </w:pPr>
    </w:p>
    <w:p w:rsidR="009C29F1" w:rsidRDefault="009C29F1" w:rsidP="009C29F1">
      <w:pPr>
        <w:shd w:val="clear" w:color="auto" w:fill="FFFFFF"/>
        <w:spacing w:after="0" w:line="240" w:lineRule="auto"/>
        <w:jc w:val="center"/>
        <w:rPr>
          <w:rFonts w:ascii="Times New Roman" w:hAnsi="Times New Roman"/>
          <w:b/>
          <w:bCs/>
          <w:sz w:val="24"/>
          <w:szCs w:val="24"/>
        </w:rPr>
      </w:pPr>
      <w:r w:rsidRPr="005F5932">
        <w:rPr>
          <w:rFonts w:ascii="Times New Roman" w:hAnsi="Times New Roman"/>
          <w:b/>
          <w:bCs/>
          <w:sz w:val="24"/>
          <w:szCs w:val="24"/>
        </w:rPr>
        <w:t xml:space="preserve">CUANTUMURILE MAXIME ale </w:t>
      </w:r>
      <w:proofErr w:type="spellStart"/>
      <w:r w:rsidRPr="005F5932">
        <w:rPr>
          <w:rFonts w:ascii="Times New Roman" w:hAnsi="Times New Roman"/>
          <w:b/>
          <w:bCs/>
          <w:sz w:val="24"/>
          <w:szCs w:val="24"/>
        </w:rPr>
        <w:t>ajutorului</w:t>
      </w:r>
      <w:proofErr w:type="spellEnd"/>
      <w:r w:rsidRPr="005F5932">
        <w:rPr>
          <w:rFonts w:ascii="Times New Roman" w:hAnsi="Times New Roman"/>
          <w:b/>
          <w:bCs/>
          <w:sz w:val="24"/>
          <w:szCs w:val="24"/>
        </w:rPr>
        <w:t xml:space="preserve"> de stat</w:t>
      </w:r>
    </w:p>
    <w:p w:rsidR="009C29F1" w:rsidRPr="005F5932" w:rsidRDefault="009C29F1" w:rsidP="009C29F1">
      <w:pPr>
        <w:shd w:val="clear" w:color="auto" w:fill="FFFFFF"/>
        <w:spacing w:after="0" w:line="240" w:lineRule="auto"/>
        <w:jc w:val="center"/>
        <w:rPr>
          <w:rFonts w:ascii="Times New Roman" w:hAnsi="Times New Roman"/>
          <w:b/>
          <w:bCs/>
          <w:sz w:val="24"/>
          <w:szCs w:val="24"/>
        </w:rPr>
      </w:pPr>
      <w:proofErr w:type="spellStart"/>
      <w:proofErr w:type="gramStart"/>
      <w:r w:rsidRPr="005F5932">
        <w:rPr>
          <w:rFonts w:ascii="Times New Roman" w:hAnsi="Times New Roman"/>
          <w:b/>
          <w:bCs/>
          <w:sz w:val="24"/>
          <w:szCs w:val="24"/>
        </w:rPr>
        <w:t>în</w:t>
      </w:r>
      <w:proofErr w:type="spellEnd"/>
      <w:proofErr w:type="gramEnd"/>
      <w:r w:rsidRPr="005F5932">
        <w:rPr>
          <w:rFonts w:ascii="Times New Roman" w:hAnsi="Times New Roman"/>
          <w:b/>
          <w:bCs/>
          <w:sz w:val="24"/>
          <w:szCs w:val="24"/>
        </w:rPr>
        <w:t xml:space="preserve"> </w:t>
      </w:r>
      <w:proofErr w:type="spellStart"/>
      <w:r w:rsidRPr="005F5932">
        <w:rPr>
          <w:rFonts w:ascii="Times New Roman" w:hAnsi="Times New Roman"/>
          <w:b/>
          <w:bCs/>
          <w:sz w:val="24"/>
          <w:szCs w:val="24"/>
        </w:rPr>
        <w:t>funcţie</w:t>
      </w:r>
      <w:proofErr w:type="spellEnd"/>
      <w:r w:rsidRPr="005F5932">
        <w:rPr>
          <w:rFonts w:ascii="Times New Roman" w:hAnsi="Times New Roman"/>
          <w:b/>
          <w:bCs/>
          <w:sz w:val="24"/>
          <w:szCs w:val="24"/>
        </w:rPr>
        <w:t xml:space="preserve"> de </w:t>
      </w:r>
      <w:proofErr w:type="spellStart"/>
      <w:r w:rsidRPr="005F5932">
        <w:rPr>
          <w:rFonts w:ascii="Times New Roman" w:hAnsi="Times New Roman"/>
          <w:b/>
          <w:bCs/>
          <w:sz w:val="24"/>
          <w:szCs w:val="24"/>
        </w:rPr>
        <w:t>categoria</w:t>
      </w:r>
      <w:proofErr w:type="spellEnd"/>
      <w:r w:rsidRPr="005F5932">
        <w:rPr>
          <w:rFonts w:ascii="Times New Roman" w:hAnsi="Times New Roman"/>
          <w:b/>
          <w:bCs/>
          <w:sz w:val="24"/>
          <w:szCs w:val="24"/>
        </w:rPr>
        <w:t xml:space="preserve"> </w:t>
      </w:r>
      <w:proofErr w:type="spellStart"/>
      <w:r w:rsidRPr="005F5932">
        <w:rPr>
          <w:rFonts w:ascii="Times New Roman" w:hAnsi="Times New Roman"/>
          <w:b/>
          <w:bCs/>
          <w:sz w:val="24"/>
          <w:szCs w:val="24"/>
        </w:rPr>
        <w:t>beneficiarului</w:t>
      </w:r>
      <w:proofErr w:type="spellEnd"/>
    </w:p>
    <w:p w:rsidR="009C29F1" w:rsidRPr="005F5932" w:rsidRDefault="009C29F1" w:rsidP="009C29F1">
      <w:pPr>
        <w:shd w:val="clear" w:color="auto" w:fill="FFFFFF"/>
        <w:spacing w:before="80" w:after="0" w:line="264" w:lineRule="auto"/>
        <w:jc w:val="right"/>
        <w:rPr>
          <w:rFonts w:ascii="Times New Roman" w:hAnsi="Times New Roman"/>
          <w:sz w:val="24"/>
          <w:szCs w:val="24"/>
        </w:rPr>
      </w:pPr>
      <w:bookmarkStart w:id="12" w:name="do|ax1|pa1"/>
      <w:bookmarkEnd w:id="12"/>
      <w:r>
        <w:rPr>
          <w:rFonts w:ascii="Times New Roman" w:hAnsi="Times New Roman"/>
          <w:sz w:val="24"/>
          <w:szCs w:val="24"/>
        </w:rPr>
        <w:t>–</w:t>
      </w:r>
      <w:r w:rsidRPr="005F5932">
        <w:rPr>
          <w:rFonts w:ascii="Times New Roman" w:hAnsi="Times New Roman"/>
          <w:sz w:val="24"/>
          <w:szCs w:val="24"/>
        </w:rPr>
        <w:t xml:space="preserve"> </w:t>
      </w:r>
      <w:proofErr w:type="gramStart"/>
      <w:r w:rsidRPr="005F5932">
        <w:rPr>
          <w:rFonts w:ascii="Times New Roman" w:hAnsi="Times New Roman"/>
          <w:sz w:val="24"/>
          <w:szCs w:val="24"/>
        </w:rPr>
        <w:t>lei/</w:t>
      </w:r>
      <w:proofErr w:type="gramEnd"/>
      <w:r w:rsidRPr="005F5932">
        <w:rPr>
          <w:rFonts w:ascii="Times New Roman" w:hAnsi="Times New Roman"/>
          <w:sz w:val="24"/>
          <w:szCs w:val="24"/>
        </w:rPr>
        <w:t xml:space="preserve">ha </w:t>
      </w:r>
      <w:r>
        <w:rPr>
          <w:rFonts w:ascii="Times New Roman" w:hAnsi="Times New Roman"/>
          <w:sz w:val="24"/>
          <w:szCs w:val="24"/>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3"/>
        <w:gridCol w:w="4141"/>
        <w:gridCol w:w="3541"/>
      </w:tblGrid>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vAlign w:val="center"/>
            <w:hideMark/>
          </w:tcPr>
          <w:p w:rsidR="009C29F1" w:rsidRPr="005F5932" w:rsidRDefault="009C29F1" w:rsidP="00247A62">
            <w:pPr>
              <w:spacing w:before="80" w:after="0" w:line="264" w:lineRule="auto"/>
              <w:jc w:val="center"/>
              <w:rPr>
                <w:rFonts w:ascii="Times New Roman" w:hAnsi="Times New Roman"/>
                <w:color w:val="000000"/>
                <w:sz w:val="24"/>
                <w:szCs w:val="24"/>
              </w:rPr>
            </w:pPr>
            <w:bookmarkStart w:id="13" w:name="do|ax1|pa2"/>
            <w:bookmarkEnd w:id="13"/>
            <w:proofErr w:type="spellStart"/>
            <w:r w:rsidRPr="005F5932">
              <w:rPr>
                <w:rFonts w:ascii="Times New Roman" w:hAnsi="Times New Roman"/>
                <w:color w:val="000000"/>
                <w:sz w:val="24"/>
                <w:szCs w:val="24"/>
              </w:rPr>
              <w:t>Cultura</w:t>
            </w:r>
            <w:proofErr w:type="spellEnd"/>
          </w:p>
        </w:tc>
        <w:tc>
          <w:tcPr>
            <w:tcW w:w="2140" w:type="pct"/>
            <w:tcBorders>
              <w:top w:val="outset" w:sz="6" w:space="0" w:color="auto"/>
              <w:left w:val="outset" w:sz="6" w:space="0" w:color="auto"/>
              <w:bottom w:val="outset" w:sz="6" w:space="0" w:color="auto"/>
              <w:right w:val="outset" w:sz="6" w:space="0" w:color="auto"/>
            </w:tcBorders>
            <w:vAlign w:val="center"/>
            <w:hideMark/>
          </w:tcPr>
          <w:p w:rsidR="009C29F1" w:rsidRPr="005F5932" w:rsidRDefault="009C29F1" w:rsidP="00247A62">
            <w:pPr>
              <w:spacing w:before="80" w:after="0" w:line="264" w:lineRule="auto"/>
              <w:jc w:val="center"/>
              <w:rPr>
                <w:rFonts w:ascii="Times New Roman" w:hAnsi="Times New Roman"/>
                <w:color w:val="000000"/>
                <w:sz w:val="24"/>
                <w:szCs w:val="24"/>
              </w:rPr>
            </w:pPr>
            <w:proofErr w:type="spellStart"/>
            <w:r w:rsidRPr="005F5932">
              <w:rPr>
                <w:rFonts w:ascii="Times New Roman" w:hAnsi="Times New Roman"/>
                <w:color w:val="000000"/>
                <w:sz w:val="24"/>
                <w:szCs w:val="24"/>
              </w:rPr>
              <w:t>Persoane</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fizice</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persoane</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fizice</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autorizate</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întreprinderi</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individuale</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şi</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întreprinderi</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familiale</w:t>
            </w:r>
            <w:proofErr w:type="spellEnd"/>
          </w:p>
        </w:tc>
        <w:tc>
          <w:tcPr>
            <w:tcW w:w="1830" w:type="pct"/>
            <w:tcBorders>
              <w:top w:val="outset" w:sz="6" w:space="0" w:color="auto"/>
              <w:left w:val="outset" w:sz="6" w:space="0" w:color="auto"/>
              <w:bottom w:val="outset" w:sz="6" w:space="0" w:color="auto"/>
              <w:right w:val="outset" w:sz="6" w:space="0" w:color="auto"/>
            </w:tcBorders>
            <w:vAlign w:val="center"/>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sz w:val="24"/>
                <w:szCs w:val="24"/>
                <w:lang w:val="ro-RO"/>
              </w:rPr>
              <w:t>Persoane juridice, precum şi orice forme asociative cu sau fără personalitate juridică</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Porumb</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boabe</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280</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560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Floarea-soarelui</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285</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570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Soia</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335</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670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Cartof</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1.130</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2.260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Sfeclă</w:t>
            </w:r>
            <w:proofErr w:type="spellEnd"/>
            <w:r w:rsidRPr="005F5932">
              <w:rPr>
                <w:rFonts w:ascii="Times New Roman" w:hAnsi="Times New Roman"/>
                <w:color w:val="000000"/>
                <w:sz w:val="24"/>
                <w:szCs w:val="24"/>
              </w:rPr>
              <w:t xml:space="preserve"> de </w:t>
            </w:r>
            <w:proofErr w:type="spellStart"/>
            <w:r w:rsidRPr="005F5932">
              <w:rPr>
                <w:rFonts w:ascii="Times New Roman" w:hAnsi="Times New Roman"/>
                <w:color w:val="000000"/>
                <w:sz w:val="24"/>
                <w:szCs w:val="24"/>
              </w:rPr>
              <w:t>zahăr</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600</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1.200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r w:rsidRPr="005F5932">
              <w:rPr>
                <w:rFonts w:ascii="Times New Roman" w:hAnsi="Times New Roman"/>
                <w:color w:val="000000"/>
                <w:sz w:val="24"/>
                <w:szCs w:val="24"/>
              </w:rPr>
              <w:t xml:space="preserve">Legume </w:t>
            </w:r>
            <w:proofErr w:type="spellStart"/>
            <w:r w:rsidRPr="005F5932">
              <w:rPr>
                <w:rFonts w:ascii="Times New Roman" w:hAnsi="Times New Roman"/>
                <w:color w:val="000000"/>
                <w:sz w:val="24"/>
                <w:szCs w:val="24"/>
              </w:rPr>
              <w:t>în</w:t>
            </w:r>
            <w:proofErr w:type="spellEnd"/>
            <w:r w:rsidRPr="005F5932">
              <w:rPr>
                <w:rFonts w:ascii="Times New Roman" w:hAnsi="Times New Roman"/>
                <w:color w:val="000000"/>
                <w:sz w:val="24"/>
                <w:szCs w:val="24"/>
              </w:rPr>
              <w:t xml:space="preserve"> </w:t>
            </w:r>
            <w:proofErr w:type="spellStart"/>
            <w:r w:rsidRPr="005F5932">
              <w:rPr>
                <w:rFonts w:ascii="Times New Roman" w:hAnsi="Times New Roman"/>
                <w:color w:val="000000"/>
                <w:sz w:val="24"/>
                <w:szCs w:val="24"/>
              </w:rPr>
              <w:t>câmp</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1.490</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2.980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Plante</w:t>
            </w:r>
            <w:proofErr w:type="spellEnd"/>
            <w:r w:rsidRPr="005F5932">
              <w:rPr>
                <w:rFonts w:ascii="Times New Roman" w:hAnsi="Times New Roman"/>
                <w:color w:val="000000"/>
                <w:sz w:val="24"/>
                <w:szCs w:val="24"/>
              </w:rPr>
              <w:t xml:space="preserve"> de </w:t>
            </w:r>
            <w:proofErr w:type="spellStart"/>
            <w:r w:rsidRPr="005F5932">
              <w:rPr>
                <w:rFonts w:ascii="Times New Roman" w:hAnsi="Times New Roman"/>
                <w:color w:val="000000"/>
                <w:sz w:val="24"/>
                <w:szCs w:val="24"/>
              </w:rPr>
              <w:t>nutreţ</w:t>
            </w:r>
            <w:proofErr w:type="spellEnd"/>
            <w:r w:rsidRPr="005F5932">
              <w:rPr>
                <w:rFonts w:ascii="Times New Roman" w:hAnsi="Times New Roman"/>
                <w:color w:val="000000"/>
                <w:sz w:val="24"/>
                <w:szCs w:val="24"/>
              </w:rPr>
              <w:t>*</w:t>
            </w:r>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222,5</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445</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Păşune</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50</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100</w:t>
            </w:r>
          </w:p>
        </w:tc>
      </w:tr>
      <w:tr w:rsidR="009C29F1" w:rsidRPr="005F5932" w:rsidTr="00247A62">
        <w:trPr>
          <w:tblCellSpacing w:w="0" w:type="dxa"/>
        </w:trPr>
        <w:tc>
          <w:tcPr>
            <w:tcW w:w="10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rPr>
                <w:rFonts w:ascii="Times New Roman" w:hAnsi="Times New Roman"/>
                <w:color w:val="000000"/>
                <w:sz w:val="24"/>
                <w:szCs w:val="24"/>
              </w:rPr>
            </w:pPr>
            <w:proofErr w:type="spellStart"/>
            <w:r w:rsidRPr="005F5932">
              <w:rPr>
                <w:rFonts w:ascii="Times New Roman" w:hAnsi="Times New Roman"/>
                <w:color w:val="000000"/>
                <w:sz w:val="24"/>
                <w:szCs w:val="24"/>
              </w:rPr>
              <w:t>Fâneaţă</w:t>
            </w:r>
            <w:proofErr w:type="spellEnd"/>
          </w:p>
        </w:tc>
        <w:tc>
          <w:tcPr>
            <w:tcW w:w="214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75</w:t>
            </w:r>
          </w:p>
        </w:tc>
        <w:tc>
          <w:tcPr>
            <w:tcW w:w="1830" w:type="pct"/>
            <w:tcBorders>
              <w:top w:val="outset" w:sz="6" w:space="0" w:color="auto"/>
              <w:left w:val="outset" w:sz="6" w:space="0" w:color="auto"/>
              <w:bottom w:val="outset" w:sz="6" w:space="0" w:color="auto"/>
              <w:right w:val="outset" w:sz="6" w:space="0" w:color="auto"/>
            </w:tcBorders>
            <w:hideMark/>
          </w:tcPr>
          <w:p w:rsidR="009C29F1" w:rsidRPr="005F5932" w:rsidRDefault="009C29F1" w:rsidP="00247A62">
            <w:pPr>
              <w:spacing w:before="80" w:after="0" w:line="264" w:lineRule="auto"/>
              <w:jc w:val="center"/>
              <w:rPr>
                <w:rFonts w:ascii="Times New Roman" w:hAnsi="Times New Roman"/>
                <w:color w:val="000000"/>
                <w:sz w:val="24"/>
                <w:szCs w:val="24"/>
              </w:rPr>
            </w:pPr>
            <w:r w:rsidRPr="005F5932">
              <w:rPr>
                <w:rFonts w:ascii="Times New Roman" w:hAnsi="Times New Roman"/>
                <w:color w:val="000000"/>
                <w:sz w:val="24"/>
                <w:szCs w:val="24"/>
              </w:rPr>
              <w:t>150</w:t>
            </w:r>
          </w:p>
        </w:tc>
      </w:tr>
    </w:tbl>
    <w:p w:rsidR="009C29F1" w:rsidRDefault="009C29F1" w:rsidP="009C29F1">
      <w:pPr>
        <w:spacing w:before="80" w:after="0" w:line="264"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F5932">
        <w:rPr>
          <w:rFonts w:ascii="Times New Roman" w:hAnsi="Times New Roman"/>
          <w:color w:val="000000"/>
          <w:sz w:val="24"/>
          <w:szCs w:val="24"/>
        </w:rPr>
        <w:t xml:space="preserve"> </w:t>
      </w:r>
    </w:p>
    <w:p w:rsidR="009C29F1" w:rsidRDefault="009C29F1">
      <w:pPr>
        <w:rPr>
          <w:rFonts w:ascii="Times New Roman" w:hAnsi="Times New Roman"/>
          <w:b/>
          <w:color w:val="000000"/>
          <w:spacing w:val="24"/>
          <w:sz w:val="24"/>
          <w:szCs w:val="24"/>
        </w:rPr>
      </w:pPr>
      <w:r>
        <w:rPr>
          <w:rFonts w:ascii="Times New Roman" w:hAnsi="Times New Roman"/>
          <w:b/>
          <w:color w:val="000000"/>
          <w:spacing w:val="24"/>
          <w:sz w:val="24"/>
          <w:szCs w:val="24"/>
        </w:rPr>
        <w:t xml:space="preserve">                                                          </w:t>
      </w:r>
    </w:p>
    <w:p w:rsidR="000470D5" w:rsidRDefault="009C29F1">
      <w:pPr>
        <w:rPr>
          <w:rFonts w:ascii="Times New Roman" w:hAnsi="Times New Roman"/>
          <w:b/>
          <w:color w:val="000000"/>
          <w:spacing w:val="24"/>
          <w:sz w:val="24"/>
          <w:szCs w:val="24"/>
        </w:rPr>
      </w:pPr>
      <w:r>
        <w:rPr>
          <w:rFonts w:ascii="Times New Roman" w:hAnsi="Times New Roman"/>
          <w:b/>
          <w:color w:val="000000"/>
          <w:spacing w:val="24"/>
          <w:sz w:val="24"/>
          <w:szCs w:val="24"/>
        </w:rPr>
        <w:t xml:space="preserve">                                                                     </w:t>
      </w:r>
      <w:proofErr w:type="spellStart"/>
      <w:proofErr w:type="gramStart"/>
      <w:r>
        <w:rPr>
          <w:rFonts w:ascii="Times New Roman" w:hAnsi="Times New Roman"/>
          <w:b/>
          <w:color w:val="000000"/>
          <w:spacing w:val="24"/>
          <w:sz w:val="24"/>
          <w:szCs w:val="24"/>
        </w:rPr>
        <w:t>Purtator</w:t>
      </w:r>
      <w:proofErr w:type="spellEnd"/>
      <w:r>
        <w:rPr>
          <w:rFonts w:ascii="Times New Roman" w:hAnsi="Times New Roman"/>
          <w:b/>
          <w:color w:val="000000"/>
          <w:spacing w:val="24"/>
          <w:sz w:val="24"/>
          <w:szCs w:val="24"/>
        </w:rPr>
        <w:t xml:space="preserve">  de</w:t>
      </w:r>
      <w:proofErr w:type="gramEnd"/>
      <w:r>
        <w:rPr>
          <w:rFonts w:ascii="Times New Roman" w:hAnsi="Times New Roman"/>
          <w:b/>
          <w:color w:val="000000"/>
          <w:spacing w:val="24"/>
          <w:sz w:val="24"/>
          <w:szCs w:val="24"/>
        </w:rPr>
        <w:t xml:space="preserve">  </w:t>
      </w:r>
      <w:proofErr w:type="spellStart"/>
      <w:r>
        <w:rPr>
          <w:rFonts w:ascii="Times New Roman" w:hAnsi="Times New Roman"/>
          <w:b/>
          <w:color w:val="000000"/>
          <w:spacing w:val="24"/>
          <w:sz w:val="24"/>
          <w:szCs w:val="24"/>
        </w:rPr>
        <w:t>cuvant</w:t>
      </w:r>
      <w:proofErr w:type="spellEnd"/>
      <w:r>
        <w:rPr>
          <w:rFonts w:ascii="Times New Roman" w:hAnsi="Times New Roman"/>
          <w:b/>
          <w:color w:val="000000"/>
          <w:spacing w:val="24"/>
          <w:sz w:val="24"/>
          <w:szCs w:val="24"/>
        </w:rPr>
        <w:t>,</w:t>
      </w:r>
    </w:p>
    <w:p w:rsidR="009C29F1" w:rsidRDefault="009C29F1">
      <w:r>
        <w:rPr>
          <w:rFonts w:ascii="Times New Roman" w:hAnsi="Times New Roman"/>
          <w:b/>
          <w:color w:val="000000"/>
          <w:spacing w:val="24"/>
          <w:sz w:val="24"/>
          <w:szCs w:val="24"/>
        </w:rPr>
        <w:t xml:space="preserve">                                                                          </w:t>
      </w:r>
      <w:proofErr w:type="spellStart"/>
      <w:proofErr w:type="gramStart"/>
      <w:r>
        <w:rPr>
          <w:rFonts w:ascii="Times New Roman" w:hAnsi="Times New Roman"/>
          <w:b/>
          <w:color w:val="000000"/>
          <w:spacing w:val="24"/>
          <w:sz w:val="24"/>
          <w:szCs w:val="24"/>
        </w:rPr>
        <w:t>Ioan</w:t>
      </w:r>
      <w:proofErr w:type="spellEnd"/>
      <w:r>
        <w:rPr>
          <w:rFonts w:ascii="Times New Roman" w:hAnsi="Times New Roman"/>
          <w:b/>
          <w:color w:val="000000"/>
          <w:spacing w:val="24"/>
          <w:sz w:val="24"/>
          <w:szCs w:val="24"/>
        </w:rPr>
        <w:t xml:space="preserve">  </w:t>
      </w:r>
      <w:proofErr w:type="spellStart"/>
      <w:r>
        <w:rPr>
          <w:rFonts w:ascii="Times New Roman" w:hAnsi="Times New Roman"/>
          <w:b/>
          <w:color w:val="000000"/>
          <w:spacing w:val="24"/>
          <w:sz w:val="24"/>
          <w:szCs w:val="24"/>
        </w:rPr>
        <w:t>Serediuc</w:t>
      </w:r>
      <w:proofErr w:type="spellEnd"/>
      <w:proofErr w:type="gramEnd"/>
    </w:p>
    <w:sectPr w:rsidR="009C29F1" w:rsidSect="00E42BF4">
      <w:pgSz w:w="11907" w:h="16840" w:code="9"/>
      <w:pgMar w:top="900" w:right="1197" w:bottom="540" w:left="1440" w:header="284"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1C"/>
    <w:multiLevelType w:val="hybridMultilevel"/>
    <w:tmpl w:val="F92CA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A28C9"/>
    <w:multiLevelType w:val="hybridMultilevel"/>
    <w:tmpl w:val="F92CA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8276B"/>
    <w:multiLevelType w:val="hybridMultilevel"/>
    <w:tmpl w:val="F92CA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9C29F1"/>
    <w:rsid w:val="000470D5"/>
    <w:rsid w:val="009C2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
  <cp:revision>1</cp:revision>
  <dcterms:created xsi:type="dcterms:W3CDTF">2015-10-30T11:42:00Z</dcterms:created>
</cp:coreProperties>
</file>